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386C" w14:textId="77777777" w:rsidR="00AC29BD" w:rsidRDefault="00AC29BD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230E63EC" w14:textId="77777777" w:rsidR="00AC29BD" w:rsidRDefault="00784A8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7A1C22A8" w14:textId="77777777" w:rsidR="00AC29BD" w:rsidRDefault="00AC29BD">
      <w:pPr>
        <w:jc w:val="center"/>
        <w:rPr>
          <w:rFonts w:ascii="Arial" w:hAnsi="Arial" w:cs="Arial"/>
          <w:rtl/>
          <w:lang w:bidi="ar-LY"/>
        </w:rPr>
      </w:pPr>
    </w:p>
    <w:p w14:paraId="246A83A4" w14:textId="77777777" w:rsidR="00AC29BD" w:rsidRDefault="00AC29BD">
      <w:pPr>
        <w:jc w:val="center"/>
        <w:rPr>
          <w:rFonts w:ascii="Arial" w:hAnsi="Arial" w:cs="Arial"/>
          <w:rtl/>
          <w:lang w:bidi="ar-LY"/>
        </w:rPr>
      </w:pPr>
    </w:p>
    <w:p w14:paraId="2548E0C1" w14:textId="77777777" w:rsidR="00AC29BD" w:rsidRDefault="00AC29BD">
      <w:pPr>
        <w:rPr>
          <w:rFonts w:ascii="Arial" w:hAnsi="Arial" w:cs="Arial"/>
          <w:rtl/>
          <w:lang w:bidi="ar-LY"/>
        </w:rPr>
      </w:pPr>
    </w:p>
    <w:p w14:paraId="77E30C19" w14:textId="77777777" w:rsidR="00AC29BD" w:rsidRDefault="00AC29BD">
      <w:pPr>
        <w:rPr>
          <w:rFonts w:ascii="Arial" w:hAnsi="Arial" w:cs="Arial"/>
          <w:rtl/>
        </w:rPr>
      </w:pPr>
    </w:p>
    <w:p w14:paraId="5C541FEE" w14:textId="77777777" w:rsidR="00AC29BD" w:rsidRDefault="00784A88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1C2529B" wp14:editId="66E7AF64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59C940" w14:textId="77777777" w:rsidR="00AC29BD" w:rsidRDefault="00AC29BD">
      <w:pPr>
        <w:jc w:val="center"/>
        <w:rPr>
          <w:rFonts w:ascii="Arial" w:hAnsi="Arial" w:cs="Arial"/>
          <w:rtl/>
        </w:rPr>
      </w:pPr>
    </w:p>
    <w:p w14:paraId="698A6348" w14:textId="77777777" w:rsidR="00AC29BD" w:rsidRDefault="00AC29BD">
      <w:pPr>
        <w:rPr>
          <w:rFonts w:ascii="Arial" w:hAnsi="Arial" w:cs="Arial"/>
          <w:rtl/>
          <w:lang w:bidi="ar-LY"/>
        </w:rPr>
      </w:pPr>
    </w:p>
    <w:p w14:paraId="7D0FA27C" w14:textId="77777777" w:rsidR="00AC29BD" w:rsidRDefault="00AC29BD">
      <w:pPr>
        <w:rPr>
          <w:rFonts w:ascii="Arial" w:hAnsi="Arial" w:cs="Arial"/>
          <w:rtl/>
          <w:lang w:bidi="ar-LY"/>
        </w:rPr>
      </w:pPr>
    </w:p>
    <w:p w14:paraId="5BD96D60" w14:textId="77777777" w:rsidR="00AC29BD" w:rsidRDefault="00AC29BD">
      <w:pPr>
        <w:rPr>
          <w:rFonts w:ascii="Arial" w:hAnsi="Arial" w:cs="Arial"/>
          <w:rtl/>
          <w:lang w:bidi="ar-LY"/>
        </w:rPr>
      </w:pPr>
    </w:p>
    <w:p w14:paraId="3F45DF4E" w14:textId="77777777" w:rsidR="00AC29BD" w:rsidRDefault="00AC29BD">
      <w:pPr>
        <w:rPr>
          <w:rFonts w:ascii="Arial" w:hAnsi="Arial" w:cs="Arial"/>
          <w:rtl/>
          <w:lang w:bidi="ar-LY"/>
        </w:rPr>
      </w:pPr>
    </w:p>
    <w:p w14:paraId="76948E98" w14:textId="77777777" w:rsidR="00AC29BD" w:rsidRDefault="00AC29BD">
      <w:pPr>
        <w:rPr>
          <w:rFonts w:ascii="Arial" w:hAnsi="Arial" w:cs="Arial"/>
          <w:rtl/>
          <w:lang w:bidi="ar-LY"/>
        </w:rPr>
      </w:pPr>
    </w:p>
    <w:p w14:paraId="3C2F6690" w14:textId="77777777" w:rsidR="00AC29BD" w:rsidRDefault="00AC29BD">
      <w:pPr>
        <w:rPr>
          <w:rFonts w:ascii="Arial" w:hAnsi="Arial" w:cs="Arial"/>
          <w:rtl/>
          <w:lang w:bidi="ar-LY"/>
        </w:rPr>
      </w:pPr>
    </w:p>
    <w:p w14:paraId="017E7A35" w14:textId="77777777" w:rsidR="00AC29BD" w:rsidRDefault="00AC29BD">
      <w:pPr>
        <w:rPr>
          <w:rFonts w:ascii="Arial" w:hAnsi="Arial" w:cs="Arial"/>
          <w:rtl/>
          <w:lang w:bidi="ar-LY"/>
        </w:rPr>
      </w:pPr>
    </w:p>
    <w:p w14:paraId="6C22F933" w14:textId="77777777" w:rsidR="00AC29BD" w:rsidRDefault="00AC29BD">
      <w:pPr>
        <w:jc w:val="center"/>
        <w:rPr>
          <w:sz w:val="36"/>
          <w:szCs w:val="36"/>
          <w:rtl/>
          <w:lang w:bidi="ar-LY"/>
        </w:rPr>
      </w:pPr>
    </w:p>
    <w:p w14:paraId="14BF1158" w14:textId="77777777" w:rsidR="00AC29BD" w:rsidRDefault="00784A88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010906B5" w14:textId="77777777" w:rsidR="00AC29BD" w:rsidRDefault="00AC29BD">
      <w:pPr>
        <w:jc w:val="center"/>
        <w:rPr>
          <w:sz w:val="36"/>
          <w:szCs w:val="36"/>
          <w:rtl/>
          <w:lang w:bidi="ar-LY"/>
        </w:rPr>
      </w:pPr>
    </w:p>
    <w:p w14:paraId="525307E6" w14:textId="77777777" w:rsidR="00AC29BD" w:rsidRDefault="00784A88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>Dorob al itussm Institute for Medical Sciences</w:t>
      </w:r>
    </w:p>
    <w:p w14:paraId="5662DA98" w14:textId="77777777" w:rsidR="00AC29BD" w:rsidRDefault="00784A88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sz w:val="36"/>
          <w:szCs w:val="36"/>
          <w:lang w:bidi="ar-LY"/>
        </w:rPr>
        <w:t xml:space="preserve">Medical laboratories </w:t>
      </w:r>
    </w:p>
    <w:p w14:paraId="2968EEEF" w14:textId="77777777" w:rsidR="00AC29BD" w:rsidRDefault="00784A88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>التدريب الميداني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Practical Training   </w:t>
      </w:r>
    </w:p>
    <w:p w14:paraId="39A30803" w14:textId="77777777" w:rsidR="00AC29BD" w:rsidRDefault="00784A88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MLT 247</w:t>
      </w:r>
    </w:p>
    <w:p w14:paraId="3E7735FA" w14:textId="77777777" w:rsidR="00AC29BD" w:rsidRDefault="00784A88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2025</w:t>
      </w:r>
    </w:p>
    <w:p w14:paraId="7E5E9E52" w14:textId="77777777" w:rsidR="00AC29BD" w:rsidRDefault="00AC29BD">
      <w:pPr>
        <w:rPr>
          <w:rFonts w:ascii="Arial" w:hAnsi="Arial" w:cs="Arial"/>
          <w:rtl/>
        </w:rPr>
      </w:pPr>
    </w:p>
    <w:p w14:paraId="0EEC9C37" w14:textId="77777777" w:rsidR="00AC29BD" w:rsidRDefault="00AC29BD">
      <w:pPr>
        <w:rPr>
          <w:rFonts w:ascii="Arial" w:hAnsi="Arial" w:cs="Arial"/>
          <w:rtl/>
        </w:rPr>
      </w:pPr>
    </w:p>
    <w:p w14:paraId="2631972A" w14:textId="77777777" w:rsidR="00AC29BD" w:rsidRDefault="00AC29BD">
      <w:pPr>
        <w:jc w:val="center"/>
        <w:rPr>
          <w:rFonts w:ascii="Arial" w:hAnsi="Arial" w:cs="Arial"/>
          <w:sz w:val="36"/>
          <w:szCs w:val="36"/>
          <w:rtl/>
        </w:rPr>
      </w:pPr>
    </w:p>
    <w:p w14:paraId="5780EE0A" w14:textId="77777777" w:rsidR="00AC29BD" w:rsidRDefault="00AC29BD">
      <w:pPr>
        <w:rPr>
          <w:rFonts w:ascii="Arial" w:hAnsi="Arial" w:cs="Arial"/>
          <w:sz w:val="36"/>
          <w:szCs w:val="36"/>
          <w:rtl/>
        </w:rPr>
      </w:pPr>
    </w:p>
    <w:p w14:paraId="0838CFED" w14:textId="77777777" w:rsidR="00AC29BD" w:rsidRDefault="00AC29BD">
      <w:pPr>
        <w:jc w:val="center"/>
        <w:rPr>
          <w:rFonts w:ascii="Arial" w:hAnsi="Arial" w:cs="Arial"/>
          <w:sz w:val="36"/>
          <w:szCs w:val="36"/>
          <w:rtl/>
        </w:rPr>
      </w:pPr>
    </w:p>
    <w:p w14:paraId="068D65DB" w14:textId="77777777" w:rsidR="00AC29BD" w:rsidRDefault="00AC29BD">
      <w:pPr>
        <w:jc w:val="center"/>
        <w:rPr>
          <w:rFonts w:ascii="Arial" w:hAnsi="Arial" w:cs="Arial"/>
          <w:sz w:val="36"/>
          <w:szCs w:val="36"/>
          <w:rtl/>
        </w:rPr>
      </w:pPr>
    </w:p>
    <w:p w14:paraId="79894338" w14:textId="77777777" w:rsidR="00AC29BD" w:rsidRDefault="00AC29BD">
      <w:pPr>
        <w:jc w:val="center"/>
        <w:rPr>
          <w:rFonts w:ascii="Arial" w:hAnsi="Arial" w:cs="Arial"/>
          <w:sz w:val="36"/>
          <w:szCs w:val="36"/>
          <w:rtl/>
        </w:rPr>
      </w:pPr>
    </w:p>
    <w:p w14:paraId="21E4B22F" w14:textId="77777777" w:rsidR="00AC29BD" w:rsidRDefault="00AC29BD">
      <w:pPr>
        <w:jc w:val="lowKashida"/>
        <w:rPr>
          <w:rFonts w:ascii="Arial" w:hAnsi="Arial" w:cs="Arial"/>
          <w:sz w:val="36"/>
          <w:szCs w:val="36"/>
          <w:rtl/>
        </w:rPr>
      </w:pPr>
    </w:p>
    <w:p w14:paraId="5D946BD8" w14:textId="77777777" w:rsidR="00AC29BD" w:rsidRDefault="00AC29BD">
      <w:pPr>
        <w:rPr>
          <w:rtl/>
        </w:rPr>
      </w:pPr>
    </w:p>
    <w:p w14:paraId="21FA3535" w14:textId="77777777" w:rsidR="00AC29BD" w:rsidRDefault="00AC29BD">
      <w:pPr>
        <w:rPr>
          <w:rtl/>
        </w:rPr>
      </w:pPr>
    </w:p>
    <w:p w14:paraId="16D7EFC6" w14:textId="77777777" w:rsidR="00AC29BD" w:rsidRDefault="00AC29BD">
      <w:pPr>
        <w:rPr>
          <w:rtl/>
        </w:rPr>
      </w:pPr>
    </w:p>
    <w:p w14:paraId="75163746" w14:textId="77777777" w:rsidR="00AC29BD" w:rsidRDefault="00AC29BD">
      <w:pPr>
        <w:rPr>
          <w:rtl/>
        </w:rPr>
      </w:pPr>
    </w:p>
    <w:p w14:paraId="7053690B" w14:textId="77777777" w:rsidR="00AC29BD" w:rsidRDefault="00AC29BD">
      <w:pPr>
        <w:rPr>
          <w:rtl/>
        </w:rPr>
      </w:pPr>
    </w:p>
    <w:p w14:paraId="4AF1CB7F" w14:textId="77777777" w:rsidR="00AC29BD" w:rsidRDefault="00784A88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3918B4C2" w14:textId="77777777" w:rsidR="00AC29BD" w:rsidRDefault="00AC29BD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3DB465B" w14:textId="77777777" w:rsidR="00AC29BD" w:rsidRDefault="00784A88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>General Information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0E26B64D" w14:textId="77777777" w:rsidR="00AC29BD" w:rsidRDefault="00AC29BD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7E2C6603" w14:textId="77777777" w:rsidR="00AC29BD" w:rsidRDefault="00AC29BD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AC29BD" w14:paraId="00134582" w14:textId="77777777">
        <w:tc>
          <w:tcPr>
            <w:tcW w:w="780" w:type="dxa"/>
            <w:shd w:val="clear" w:color="auto" w:fill="D9D9D9"/>
          </w:tcPr>
          <w:p w14:paraId="08526A38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5CC193D3" w14:textId="77777777" w:rsidR="00AC29BD" w:rsidRDefault="00784A88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0950E950" w14:textId="77777777" w:rsidR="00AC29BD" w:rsidRDefault="00784A88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Practical training</w:t>
            </w:r>
          </w:p>
        </w:tc>
      </w:tr>
      <w:tr w:rsidR="00AC29BD" w14:paraId="5561A9BB" w14:textId="77777777">
        <w:tc>
          <w:tcPr>
            <w:tcW w:w="780" w:type="dxa"/>
            <w:shd w:val="clear" w:color="auto" w:fill="D9D9D9"/>
          </w:tcPr>
          <w:p w14:paraId="7E5E3C7A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004313A1" w14:textId="77777777" w:rsidR="00AC29BD" w:rsidRDefault="00784A88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2854B99E" w14:textId="77777777" w:rsidR="00AC29BD" w:rsidRDefault="00784A88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247</w:t>
            </w:r>
          </w:p>
        </w:tc>
      </w:tr>
      <w:tr w:rsidR="00AC29BD" w14:paraId="1A07E24A" w14:textId="77777777">
        <w:tc>
          <w:tcPr>
            <w:tcW w:w="780" w:type="dxa"/>
            <w:shd w:val="clear" w:color="auto" w:fill="D9D9D9"/>
          </w:tcPr>
          <w:p w14:paraId="1EB9502A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6451DF2" w14:textId="77777777" w:rsidR="00AC29BD" w:rsidRDefault="00784A88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649A99B7" w14:textId="77777777" w:rsidR="00AC29BD" w:rsidRDefault="00AC29BD">
            <w:pPr>
              <w:jc w:val="center"/>
              <w:rPr>
                <w:rtl/>
                <w:lang w:bidi="ar-LY"/>
              </w:rPr>
            </w:pPr>
          </w:p>
        </w:tc>
      </w:tr>
      <w:tr w:rsidR="00AC29BD" w14:paraId="35AA97F6" w14:textId="77777777">
        <w:tc>
          <w:tcPr>
            <w:tcW w:w="780" w:type="dxa"/>
            <w:shd w:val="clear" w:color="auto" w:fill="D9D9D9"/>
          </w:tcPr>
          <w:p w14:paraId="3B80FE6F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5EADC216" w14:textId="77777777" w:rsidR="00AC29BD" w:rsidRDefault="00784A88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4AFBB70F" w14:textId="77777777" w:rsidR="00AC29BD" w:rsidRDefault="00784A88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>
              <w:rPr>
                <w:lang w:bidi="ar-LY"/>
              </w:rPr>
              <w:t>Medical Laboratories</w:t>
            </w:r>
          </w:p>
        </w:tc>
      </w:tr>
      <w:tr w:rsidR="00AC29BD" w14:paraId="75501DEE" w14:textId="77777777">
        <w:tc>
          <w:tcPr>
            <w:tcW w:w="780" w:type="dxa"/>
            <w:shd w:val="clear" w:color="auto" w:fill="D9D9D9"/>
          </w:tcPr>
          <w:p w14:paraId="6C948637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18EDE19F" w14:textId="77777777" w:rsidR="00AC29BD" w:rsidRDefault="00784A88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8F54B21" w14:textId="77777777" w:rsidR="00AC29BD" w:rsidRDefault="00784A88">
            <w:pPr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 xml:space="preserve"> -</w:t>
            </w:r>
          </w:p>
        </w:tc>
      </w:tr>
      <w:tr w:rsidR="00AC29BD" w14:paraId="4E9E032A" w14:textId="77777777">
        <w:tc>
          <w:tcPr>
            <w:tcW w:w="780" w:type="dxa"/>
            <w:shd w:val="clear" w:color="auto" w:fill="D9D9D9"/>
          </w:tcPr>
          <w:p w14:paraId="1D9937DD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1A00CB44" w14:textId="77777777" w:rsidR="00AC29BD" w:rsidRDefault="00784A88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2B82A91A" w14:textId="77777777" w:rsidR="00AC29BD" w:rsidRDefault="00784A88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6/3/week</w:t>
            </w:r>
          </w:p>
        </w:tc>
      </w:tr>
      <w:tr w:rsidR="00AC29BD" w14:paraId="03F57434" w14:textId="77777777">
        <w:tc>
          <w:tcPr>
            <w:tcW w:w="780" w:type="dxa"/>
            <w:shd w:val="clear" w:color="auto" w:fill="D9D9D9"/>
          </w:tcPr>
          <w:p w14:paraId="1EEC4F5B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6AAD1B84" w14:textId="77777777" w:rsidR="00AC29BD" w:rsidRDefault="00784A88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0E057F68" w14:textId="77777777" w:rsidR="00AC29BD" w:rsidRDefault="00784A88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AC29BD" w14:paraId="321C4B91" w14:textId="77777777">
        <w:tc>
          <w:tcPr>
            <w:tcW w:w="780" w:type="dxa"/>
            <w:shd w:val="clear" w:color="auto" w:fill="D9D9D9"/>
          </w:tcPr>
          <w:p w14:paraId="7A77A3F0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5AD91F1A" w14:textId="77777777" w:rsidR="00AC29BD" w:rsidRDefault="00784A88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568B1E75" w14:textId="77777777" w:rsidR="00AC29BD" w:rsidRDefault="00784A88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Fourth Semester</w:t>
            </w:r>
          </w:p>
        </w:tc>
      </w:tr>
      <w:tr w:rsidR="00AC29BD" w14:paraId="7E8B0A68" w14:textId="77777777">
        <w:tc>
          <w:tcPr>
            <w:tcW w:w="780" w:type="dxa"/>
            <w:shd w:val="clear" w:color="auto" w:fill="D9D9D9"/>
          </w:tcPr>
          <w:p w14:paraId="028BC415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6EE1B44" w14:textId="77777777" w:rsidR="00AC29BD" w:rsidRDefault="00784A88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798DE0B" w14:textId="77777777" w:rsidR="00AC29BD" w:rsidRDefault="00784A88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371B43C0" w14:textId="77777777" w:rsidR="00AC29BD" w:rsidRDefault="00AC29BD">
      <w:pPr>
        <w:rPr>
          <w:rFonts w:ascii="Arial" w:hAnsi="Arial" w:cs="Arial"/>
          <w:rtl/>
          <w:lang w:bidi="ar-LY"/>
        </w:rPr>
      </w:pPr>
    </w:p>
    <w:p w14:paraId="2C02DBEB" w14:textId="77777777" w:rsidR="00AC29BD" w:rsidRDefault="00784A88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04BB7E92" w14:textId="77777777" w:rsidR="00AC29BD" w:rsidRDefault="00784A88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07A2D" wp14:editId="019BEAF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FCAEFE" w14:textId="77777777" w:rsidR="00AC29BD" w:rsidRDefault="00784A88">
                            <w:pPr>
                              <w:jc w:val="center"/>
                            </w:pPr>
                            <w:r>
                              <w:t xml:space="preserve">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07A2D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DFCAEFE" w14:textId="77777777" w:rsidR="00AC29BD" w:rsidRDefault="00784A88">
                      <w:pPr>
                        <w:jc w:val="center"/>
                      </w:pPr>
                      <w:r>
                        <w:t xml:space="preserve"> 00</w:t>
                      </w:r>
                    </w:p>
                  </w:txbxContent>
                </v:textbox>
              </v:rect>
            </w:pict>
          </mc:Fallback>
        </mc:AlternateContent>
      </w:r>
    </w:p>
    <w:p w14:paraId="27F3635C" w14:textId="77777777" w:rsidR="00AC29BD" w:rsidRDefault="00784A88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0C3D1" wp14:editId="2DB4FF78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C7EE7A" w14:textId="77777777" w:rsidR="00AC29BD" w:rsidRDefault="00784A88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0C3D1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4C7EE7A" w14:textId="77777777" w:rsidR="00AC29BD" w:rsidRDefault="00784A88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97C08" wp14:editId="4DD805CA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720D59" w14:textId="77777777" w:rsidR="00AC29BD" w:rsidRDefault="00784A88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97C08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F720D59" w14:textId="77777777" w:rsidR="00AC29BD" w:rsidRDefault="00784A88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2E9C6" wp14:editId="34AF5780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4CAC24" w14:textId="77777777" w:rsidR="00AC29BD" w:rsidRDefault="00784A88">
                            <w:pPr>
                              <w:jc w:val="center"/>
                            </w:pPr>
                            <w:r>
                              <w:t>644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2E9C6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B4CAC24" w14:textId="77777777" w:rsidR="00AC29BD" w:rsidRDefault="00784A88">
                      <w:pPr>
                        <w:jc w:val="center"/>
                      </w:pPr>
                      <w:r>
                        <w:t>644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3F377C5D" w14:textId="77777777" w:rsidR="00AC29BD" w:rsidRDefault="00784A88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AC29BD" w14:paraId="6DB60DE7" w14:textId="77777777">
        <w:tc>
          <w:tcPr>
            <w:tcW w:w="1525" w:type="dxa"/>
            <w:shd w:val="clear" w:color="auto" w:fill="EEECE1"/>
          </w:tcPr>
          <w:p w14:paraId="4EAAE19D" w14:textId="77777777" w:rsidR="00AC29BD" w:rsidRDefault="00784A88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0C9E181C" w14:textId="77777777" w:rsidR="00AC29BD" w:rsidRDefault="00AC29B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280F9602" w14:textId="77777777" w:rsidR="00AC29BD" w:rsidRDefault="00784A88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8FA882A" w14:textId="77777777" w:rsidR="00AC29BD" w:rsidRDefault="00784A8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3E46B15D" w14:textId="77777777" w:rsidR="00AC29BD" w:rsidRDefault="00784A88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390F0B3C" w14:textId="77777777" w:rsidR="00AC29BD" w:rsidRDefault="00AC29B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12EDD75" w14:textId="77777777" w:rsidR="00AC29BD" w:rsidRDefault="00784A88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4DF2911E" w14:textId="77777777" w:rsidR="00AC29BD" w:rsidRDefault="00AC29B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C40473B" w14:textId="77777777" w:rsidR="00AC29BD" w:rsidRDefault="00AC29BD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8F9AD6D" w14:textId="77777777" w:rsidR="00AC29BD" w:rsidRDefault="00784A88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2D7F0657" w14:textId="77777777" w:rsidR="00AC29BD" w:rsidRDefault="00784A8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Upon completion of this course, students will be able to:</w:t>
      </w:r>
    </w:p>
    <w:p w14:paraId="7D2305FA" w14:textId="77777777" w:rsidR="00AC29BD" w:rsidRDefault="00784A8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1-Apply theoretical knowledge and practical skills in a real-world clinical laboratory environment across multiple disciplines.</w:t>
      </w:r>
    </w:p>
    <w:p w14:paraId="43A947DF" w14:textId="77777777" w:rsidR="00AC29BD" w:rsidRDefault="00784A8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2-Perform routine and specialized laboratory tests accurately, efficiently, and in compliance with standard operating procedures.</w:t>
      </w:r>
    </w:p>
    <w:p w14:paraId="5037202F" w14:textId="77777777" w:rsidR="00AC29BD" w:rsidRDefault="00784A8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3-Demonstrate professional behavior, ethical conduct, and effective communication within the healthcare team.</w:t>
      </w:r>
    </w:p>
    <w:p w14:paraId="6DDA93AC" w14:textId="77777777" w:rsidR="00AC29BD" w:rsidRDefault="00784A8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4-Implement quality control and assurance protocols to ensure reliable laboratory results and patient safety.</w:t>
      </w:r>
    </w:p>
    <w:p w14:paraId="75601D33" w14:textId="77777777" w:rsidR="00AC29BD" w:rsidRDefault="00784A8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5-Develop critical thinking and problem-solving skills to address challenges in laboratory practice and patient care.</w:t>
      </w:r>
    </w:p>
    <w:p w14:paraId="034D2724" w14:textId="77777777" w:rsidR="00AC29BD" w:rsidRDefault="00AC29B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41E33C10" w14:textId="77777777" w:rsidR="00AC29BD" w:rsidRDefault="00AC29B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4583FD31" w14:textId="77777777" w:rsidR="00AC29BD" w:rsidRDefault="00AC29B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395274D" w14:textId="77777777" w:rsidR="00AC29BD" w:rsidRDefault="00AC29B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3C11A165" w14:textId="77777777" w:rsidR="00AC29BD" w:rsidRDefault="00784A88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3. Intended Learning Outcomes (ILOs)</w:t>
      </w:r>
    </w:p>
    <w:p w14:paraId="0B69733D" w14:textId="77777777" w:rsidR="00AC29BD" w:rsidRDefault="00784A88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AC29BD" w14:paraId="6C3C8A39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76B2F0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BA1D7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AC29BD" w14:paraId="1CBA396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8F93BB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2363D8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Apply theoretical knowledge of laboratory science to practical clinical situations.</w:t>
            </w:r>
          </w:p>
        </w:tc>
      </w:tr>
      <w:tr w:rsidR="00AC29BD" w14:paraId="4A212B8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39C9EA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03DC24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workflow and interrelationships between different laboratory sections.</w:t>
            </w:r>
          </w:p>
        </w:tc>
      </w:tr>
      <w:tr w:rsidR="00AC29BD" w14:paraId="306E2BE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8F4A01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170D84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clinical significance of laboratory results in patient diagnosis and management.</w:t>
            </w:r>
          </w:p>
        </w:tc>
      </w:tr>
      <w:tr w:rsidR="00AC29BD" w14:paraId="47F87AA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968061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C7C5B4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Recognize the roles and responsibilities of various laboratory professionals.</w:t>
            </w:r>
          </w:p>
        </w:tc>
      </w:tr>
      <w:tr w:rsidR="00AC29BD" w14:paraId="0717F56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857670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1D7B81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safety regulations, ethical guidelines, and legal requirements in clinical practice.</w:t>
            </w:r>
          </w:p>
        </w:tc>
      </w:tr>
    </w:tbl>
    <w:p w14:paraId="3D2D6B45" w14:textId="77777777" w:rsidR="00AC29BD" w:rsidRDefault="00AC29B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2791886" w14:textId="77777777" w:rsidR="00AC29BD" w:rsidRDefault="00784A88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578"/>
      </w:tblGrid>
      <w:tr w:rsidR="00AC29BD" w14:paraId="3E77D273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AE9A15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59E375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AC29BD" w14:paraId="446C67A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D1628B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BE1D07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laboratory data and correlate results with clinical conditions.</w:t>
            </w:r>
          </w:p>
        </w:tc>
      </w:tr>
      <w:tr w:rsidR="00AC29BD" w14:paraId="7561B3A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D1C199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FCC015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Troubleshoot technical problems and instrument malfunctions.</w:t>
            </w:r>
          </w:p>
        </w:tc>
      </w:tr>
      <w:tr w:rsidR="00AC29BD" w14:paraId="657A38E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3504B3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021F5E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the validity of test results using quality control data.</w:t>
            </w:r>
          </w:p>
        </w:tc>
      </w:tr>
      <w:tr w:rsidR="00AC29BD" w14:paraId="3079A29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E5FB5E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E90BE2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Prioritize workload and make decisions in time-sensitive situations.</w:t>
            </w:r>
          </w:p>
        </w:tc>
      </w:tr>
      <w:tr w:rsidR="00AC29BD" w14:paraId="7307DF2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5E3066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739AD6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Integrate findings from multiple laboratory sections to form a comprehensive view.</w:t>
            </w:r>
          </w:p>
        </w:tc>
      </w:tr>
    </w:tbl>
    <w:p w14:paraId="1008CC17" w14:textId="77777777" w:rsidR="00AC29BD" w:rsidRDefault="00AC29B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3C8A37A4" w14:textId="77777777" w:rsidR="00AC29BD" w:rsidRDefault="00784A88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039"/>
      </w:tblGrid>
      <w:tr w:rsidR="00AC29BD" w14:paraId="06535130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856BA4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F3CFC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AC29BD" w14:paraId="7773710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5E5669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25C7EB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accurate specimen collection, processing, and handling.</w:t>
            </w:r>
          </w:p>
        </w:tc>
      </w:tr>
      <w:tr w:rsidR="00AC29BD" w14:paraId="68D9510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C47157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3CCEE0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Conduct routine and specialized tests in assigned laboratory sections.</w:t>
            </w:r>
          </w:p>
        </w:tc>
      </w:tr>
      <w:tr w:rsidR="00AC29BD" w14:paraId="2999947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06315D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A0A2FD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Operate, calibrate, and perform basic maintenance on laboratory instruments.</w:t>
            </w:r>
          </w:p>
        </w:tc>
      </w:tr>
      <w:tr w:rsidR="00AC29BD" w14:paraId="15B4773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E13076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0CDE2E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Document results accurately and maintain proper records.</w:t>
            </w:r>
          </w:p>
        </w:tc>
      </w:tr>
      <w:tr w:rsidR="00AC29BD" w14:paraId="62B25CD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4E06B1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63975C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Adhere to safety protocols and infection control measures.</w:t>
            </w:r>
          </w:p>
        </w:tc>
      </w:tr>
    </w:tbl>
    <w:p w14:paraId="6FA09BB0" w14:textId="77777777" w:rsidR="00AC29BD" w:rsidRDefault="00AC29B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F81AB3D" w14:textId="77777777" w:rsidR="00AC29BD" w:rsidRDefault="00784A88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6887"/>
      </w:tblGrid>
      <w:tr w:rsidR="00AC29BD" w14:paraId="71FEC685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93508D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8601C6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AC29BD" w14:paraId="7A5154D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12C1FE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A919D9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effectively with healthcare professionals, patients, and peers.</w:t>
            </w:r>
          </w:p>
        </w:tc>
      </w:tr>
      <w:tr w:rsidR="00AC29BD" w14:paraId="7764FA7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31F450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7659EF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Work collaboratively as part of a multidisciplinary healthcare team.</w:t>
            </w:r>
          </w:p>
        </w:tc>
      </w:tr>
      <w:tr w:rsidR="00AC29BD" w14:paraId="60724BE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EA975A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BD40F7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professionalism, punctuality, and responsibility.</w:t>
            </w:r>
          </w:p>
        </w:tc>
      </w:tr>
      <w:tr w:rsidR="00AC29BD" w14:paraId="7B57E6A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D5ABDD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2F0ECE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Manage time and resources efficiently in a clinical setting.</w:t>
            </w:r>
          </w:p>
        </w:tc>
      </w:tr>
      <w:tr w:rsidR="00AC29BD" w14:paraId="5A9FF7B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386B35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75C8A9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Engage in continuous learning and self-improvement.</w:t>
            </w:r>
          </w:p>
        </w:tc>
      </w:tr>
    </w:tbl>
    <w:p w14:paraId="45EE750E" w14:textId="77777777" w:rsidR="00AC29BD" w:rsidRDefault="00AC29B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680D6A8F" w14:textId="77777777" w:rsidR="00AC29BD" w:rsidRDefault="00784A88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 xml:space="preserve"> 4. Training Structure &amp; Rotations (16-Week Schedule)</w:t>
      </w:r>
    </w:p>
    <w:tbl>
      <w:tblPr>
        <w:tblW w:w="0" w:type="auto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2908"/>
        <w:gridCol w:w="4483"/>
      </w:tblGrid>
      <w:tr w:rsidR="00AC29BD" w14:paraId="6C8B250F" w14:textId="77777777">
        <w:trPr>
          <w:tblHeader/>
        </w:trPr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BDCCEF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 Range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6BD6A0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Laboratory Section / Rotation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157DE1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Key Competencies &amp; Focus Areas</w:t>
            </w:r>
          </w:p>
        </w:tc>
      </w:tr>
      <w:tr w:rsidR="00AC29BD" w14:paraId="48387A0B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19A843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1-2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58D6E6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Clinical Chemistry &amp; Immunology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39171D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Automated analyzers, immunoassays, QC, STAT testing, critical values</w:t>
            </w:r>
          </w:p>
        </w:tc>
      </w:tr>
      <w:tr w:rsidR="00AC29BD" w14:paraId="05484CE1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AECEEA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44B576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Hematology &amp; Coagulation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F22A2A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CBC, differentials, coagulation tests, peripheral smear morphology</w:t>
            </w:r>
          </w:p>
        </w:tc>
      </w:tr>
      <w:tr w:rsidR="00AC29BD" w14:paraId="3E294436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BA0005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5-6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9FA712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Microbiology &amp;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Antimicrobial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D91C8D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Culture techniques, susceptibility testing,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bacterial ID, parasitology</w:t>
            </w:r>
          </w:p>
        </w:tc>
      </w:tr>
      <w:tr w:rsidR="00AC29BD" w14:paraId="6B0BE54C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2A902D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Weeks 7-8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E9EFE8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Blood Bank &amp; Transfusion Medicine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A55DCA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Blood grouping, crossmatching, component preparation, transfusion reactions</w:t>
            </w:r>
          </w:p>
        </w:tc>
      </w:tr>
      <w:tr w:rsidR="00AC29BD" w14:paraId="36E16EBC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68896C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9-10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6CD4F8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Histopathology &amp; Cytology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32F4AD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Tissue processing, staining, microscopic screening, specimen handling</w:t>
            </w:r>
          </w:p>
        </w:tc>
      </w:tr>
      <w:tr w:rsidR="00AC29BD" w14:paraId="3436B1D0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61ECA1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11-12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BF9729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Molecular Diagnostics &amp; Virology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16BBFC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PCR techniques, nucleic acid extraction, viral load testing, data analysis</w:t>
            </w:r>
          </w:p>
        </w:tc>
      </w:tr>
      <w:tr w:rsidR="00AC29BD" w14:paraId="69B32196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505314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13-14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8FE9EC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Urinalysis &amp; Body Fluids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0E03C3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Physical, chemical, microscopic analysis of various body fluids</w:t>
            </w:r>
          </w:p>
        </w:tc>
      </w:tr>
      <w:tr w:rsidR="00AC29BD" w14:paraId="12437BE7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1C57DA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63104D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Specialized Testing &amp; Integration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752619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Special chemistry, flow cytometry, toxicology, integrated case studies</w:t>
            </w:r>
          </w:p>
        </w:tc>
      </w:tr>
      <w:tr w:rsidR="00AC29BD" w14:paraId="5E7C28F7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F51945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D7496D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Final Evaluation &amp; Transition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28C0E0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Competency assessments, portfolio review, exit interview</w:t>
            </w:r>
          </w:p>
        </w:tc>
      </w:tr>
    </w:tbl>
    <w:p w14:paraId="5C3C7288" w14:textId="77777777" w:rsidR="00AC29BD" w:rsidRDefault="00AC29BD">
      <w:pPr>
        <w:wordWrap w:val="0"/>
        <w:jc w:val="both"/>
      </w:pPr>
    </w:p>
    <w:p w14:paraId="1602AD57" w14:textId="77777777" w:rsidR="00AC29BD" w:rsidRDefault="00784A88">
      <w:pPr>
        <w:spacing w:line="360" w:lineRule="auto"/>
        <w:jc w:val="right"/>
        <w:rPr>
          <w:b/>
          <w:bCs/>
          <w:lang w:bidi="ar-LY"/>
        </w:rPr>
      </w:pPr>
      <w:r>
        <w:rPr>
          <w:b/>
          <w:bCs/>
          <w:lang w:bidi="ar-LY"/>
        </w:rPr>
        <w:t>5-Teaching and Learning Methods</w:t>
      </w:r>
    </w:p>
    <w:p w14:paraId="7FC0A596" w14:textId="77777777" w:rsidR="00AC29BD" w:rsidRDefault="00784A88">
      <w:pPr>
        <w:spacing w:line="360" w:lineRule="auto"/>
        <w:jc w:val="right"/>
        <w:rPr>
          <w:lang w:bidi="ar-LY"/>
        </w:rPr>
      </w:pPr>
      <w:r w:rsidRPr="00937914">
        <w:rPr>
          <w:b/>
          <w:bCs/>
          <w:lang w:bidi="ar-LY"/>
        </w:rPr>
        <w:t>Supervised Clinical Practice: </w:t>
      </w:r>
      <w:r>
        <w:rPr>
          <w:lang w:bidi="ar-LY"/>
        </w:rPr>
        <w:t>Hands-on training under the guidance of experienced clinical instructors and laboratory professionals.</w:t>
      </w:r>
    </w:p>
    <w:p w14:paraId="1C9D7A88" w14:textId="77777777" w:rsidR="00AC29BD" w:rsidRDefault="00784A88">
      <w:pPr>
        <w:spacing w:line="360" w:lineRule="auto"/>
        <w:jc w:val="right"/>
        <w:rPr>
          <w:lang w:bidi="ar-LY"/>
        </w:rPr>
      </w:pPr>
      <w:r w:rsidRPr="00937914">
        <w:rPr>
          <w:b/>
          <w:bCs/>
          <w:lang w:bidi="ar-LY"/>
        </w:rPr>
        <w:t>Rotational Training: </w:t>
      </w:r>
      <w:r>
        <w:rPr>
          <w:lang w:bidi="ar-LY"/>
        </w:rPr>
        <w:t>Exposure to all major laboratory sections to develop comprehensive skills.</w:t>
      </w:r>
    </w:p>
    <w:p w14:paraId="607283CD" w14:textId="77777777" w:rsidR="00AC29BD" w:rsidRDefault="00784A88">
      <w:pPr>
        <w:spacing w:line="360" w:lineRule="auto"/>
        <w:jc w:val="right"/>
        <w:rPr>
          <w:lang w:bidi="ar-LY"/>
        </w:rPr>
      </w:pPr>
      <w:r>
        <w:rPr>
          <w:lang w:bidi="ar-LY"/>
        </w:rPr>
        <w:t>Case-Based Discussions: Regular meetings to discuss interesting or challenging cases encountered during training.</w:t>
      </w:r>
    </w:p>
    <w:p w14:paraId="24374BDB" w14:textId="77777777" w:rsidR="00AC29BD" w:rsidRDefault="00784A88">
      <w:pPr>
        <w:spacing w:line="360" w:lineRule="auto"/>
        <w:jc w:val="right"/>
        <w:rPr>
          <w:lang w:bidi="ar-LY"/>
        </w:rPr>
      </w:pPr>
      <w:r w:rsidRPr="00937914">
        <w:rPr>
          <w:b/>
          <w:bCs/>
          <w:lang w:bidi="ar-LY"/>
        </w:rPr>
        <w:t>Demonstrations &amp; Hands-On Instruction</w:t>
      </w:r>
      <w:r>
        <w:rPr>
          <w:lang w:bidi="ar-LY"/>
        </w:rPr>
        <w:t>: One-on-one teaching of specialized techniques and instrument operation.</w:t>
      </w:r>
    </w:p>
    <w:p w14:paraId="7865D81D" w14:textId="77777777" w:rsidR="00AC29BD" w:rsidRDefault="00784A88">
      <w:pPr>
        <w:spacing w:line="360" w:lineRule="auto"/>
        <w:jc w:val="right"/>
        <w:rPr>
          <w:lang w:bidi="ar-LY"/>
        </w:rPr>
      </w:pPr>
      <w:r w:rsidRPr="00937914">
        <w:rPr>
          <w:b/>
          <w:bCs/>
          <w:lang w:bidi="ar-LY"/>
        </w:rPr>
        <w:t>Journal Club &amp; Literature Review: </w:t>
      </w:r>
      <w:r>
        <w:rPr>
          <w:lang w:bidi="ar-LY"/>
        </w:rPr>
        <w:t>Sessions to discuss current topics in laboratory medicine.</w:t>
      </w:r>
    </w:p>
    <w:p w14:paraId="7620BC47" w14:textId="77777777" w:rsidR="00AC29BD" w:rsidRDefault="00784A88">
      <w:pPr>
        <w:spacing w:line="360" w:lineRule="auto"/>
        <w:jc w:val="right"/>
        <w:rPr>
          <w:lang w:bidi="ar-LY"/>
        </w:rPr>
      </w:pPr>
      <w:r w:rsidRPr="00937914">
        <w:rPr>
          <w:b/>
          <w:bCs/>
          <w:lang w:bidi="ar-LY"/>
        </w:rPr>
        <w:t>Simulation Exercises:</w:t>
      </w:r>
      <w:r>
        <w:rPr>
          <w:lang w:bidi="ar-LY"/>
        </w:rPr>
        <w:t> For high-risk or low-frequency procedures before performing on patient samples.</w:t>
      </w:r>
    </w:p>
    <w:p w14:paraId="60E3F7C9" w14:textId="77777777" w:rsidR="00AC29BD" w:rsidRDefault="00784A88">
      <w:pPr>
        <w:spacing w:line="360" w:lineRule="auto"/>
        <w:jc w:val="right"/>
        <w:rPr>
          <w:b/>
          <w:bCs/>
          <w:lang w:bidi="ar-LY"/>
        </w:rPr>
      </w:pPr>
      <w:r w:rsidRPr="00937914">
        <w:rPr>
          <w:b/>
          <w:bCs/>
          <w:lang w:bidi="ar-LY"/>
        </w:rPr>
        <w:lastRenderedPageBreak/>
        <w:t>Reflective Practice: </w:t>
      </w:r>
      <w:r>
        <w:rPr>
          <w:lang w:bidi="ar-LY"/>
        </w:rPr>
        <w:t>Maintenance of a training logbook with reflective entries on learning experiences</w:t>
      </w:r>
      <w:r>
        <w:rPr>
          <w:b/>
          <w:bCs/>
          <w:lang w:bidi="ar-LY"/>
        </w:rPr>
        <w:t>.</w:t>
      </w:r>
    </w:p>
    <w:p w14:paraId="24A5CDF0" w14:textId="77777777" w:rsidR="00AC29BD" w:rsidRDefault="00AC29BD">
      <w:pPr>
        <w:jc w:val="right"/>
        <w:rPr>
          <w:b/>
          <w:bCs/>
          <w:lang w:bidi="ar-LY"/>
        </w:rPr>
      </w:pPr>
    </w:p>
    <w:p w14:paraId="07DA2398" w14:textId="77777777" w:rsidR="00AC29BD" w:rsidRDefault="00784A88">
      <w:pPr>
        <w:jc w:val="right"/>
        <w:rPr>
          <w:rFonts w:eastAsia="Segoe UI"/>
          <w:color w:val="0F1115"/>
        </w:rPr>
      </w:pPr>
      <w:r>
        <w:rPr>
          <w:rFonts w:hint="cs"/>
          <w:b/>
          <w:bCs/>
          <w:sz w:val="32"/>
          <w:szCs w:val="32"/>
          <w:rtl/>
          <w:lang w:bidi="ar-LY"/>
        </w:rPr>
        <w:t xml:space="preserve"> </w:t>
      </w:r>
      <w:r>
        <w:rPr>
          <w:b/>
          <w:bCs/>
          <w:sz w:val="28"/>
          <w:szCs w:val="28"/>
          <w:rtl/>
          <w:lang w:bidi="ar-LY"/>
        </w:rPr>
        <w:t>طرق التقييم</w:t>
      </w:r>
      <w:r>
        <w:rPr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6. Assessment Methods</w:t>
      </w:r>
    </w:p>
    <w:p w14:paraId="5694228F" w14:textId="77777777" w:rsidR="00AC29BD" w:rsidRDefault="00AC29BD">
      <w:pPr>
        <w:jc w:val="both"/>
        <w:rPr>
          <w:rFonts w:eastAsia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3659"/>
        <w:gridCol w:w="2381"/>
        <w:gridCol w:w="1165"/>
      </w:tblGrid>
      <w:tr w:rsidR="00AC29BD" w14:paraId="73A58E7A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FEA577" w14:textId="77777777" w:rsidR="00AC29BD" w:rsidRDefault="00784A88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1E6DB8" w14:textId="77777777" w:rsidR="00AC29BD" w:rsidRDefault="00784A88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63FB1F" w14:textId="77777777" w:rsidR="00AC29BD" w:rsidRDefault="00784A88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AC29BD" w14:paraId="2C9B2FC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57E3B2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C6EEF8" w14:textId="77777777" w:rsidR="00AC29BD" w:rsidRDefault="00784A88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CA68A0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1C955E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AC29BD" w14:paraId="0E8AC5A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84F66E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EAD94" w14:textId="77777777" w:rsidR="00AC29BD" w:rsidRDefault="00784A88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85FBE2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1CBCFB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AC29BD" w14:paraId="1642BF7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CD4153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500D0E" w14:textId="77777777" w:rsidR="00AC29BD" w:rsidRDefault="00784A88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11AE53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5970A2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AC29BD" w14:paraId="47E7086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B7C5B8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28F1FF" w14:textId="77777777" w:rsidR="00AC29BD" w:rsidRDefault="00784A88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D8886C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F66755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AC29BD" w14:paraId="2218EF0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399602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3C8E9D" w14:textId="77777777" w:rsidR="00AC29BD" w:rsidRDefault="00784A88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37E63D" w14:textId="77777777" w:rsidR="00AC29BD" w:rsidRDefault="00784A88" w:rsidP="00937914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889DC1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AC29BD" w14:paraId="3F4181D5" w14:textId="77777777"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9680F6" w14:textId="77777777" w:rsidR="00AC29BD" w:rsidRDefault="00784A88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DE37A7" w14:textId="77777777" w:rsidR="00AC29BD" w:rsidRDefault="00AC29BD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09FD26" w14:textId="77777777" w:rsidR="00AC29BD" w:rsidRDefault="00784A88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4F1E98DA" w14:textId="77777777" w:rsidR="00AC29BD" w:rsidRDefault="00AC29BD">
      <w:pPr>
        <w:jc w:val="both"/>
        <w:rPr>
          <w:rFonts w:ascii="Arial" w:hAnsi="Arial" w:cs="AL-Mateen"/>
          <w:sz w:val="28"/>
          <w:szCs w:val="28"/>
          <w:rtl/>
        </w:rPr>
      </w:pPr>
    </w:p>
    <w:p w14:paraId="63DAC02E" w14:textId="77777777" w:rsidR="00AC29BD" w:rsidRDefault="00784A88">
      <w:pPr>
        <w:pStyle w:val="NormalWeb"/>
        <w:shd w:val="clear" w:color="auto" w:fill="FFFFFF"/>
        <w:spacing w:before="240" w:after="240"/>
        <w:jc w:val="right"/>
        <w:rPr>
          <w:rFonts w:eastAsia="Segoe UI"/>
          <w:color w:val="0F1115"/>
          <w:lang w:bidi="ar-LY"/>
        </w:rPr>
      </w:pPr>
      <w:r>
        <w:rPr>
          <w:b/>
          <w:bCs/>
          <w:sz w:val="28"/>
          <w:szCs w:val="28"/>
          <w:rtl/>
          <w:lang w:bidi="ar-LY"/>
        </w:rPr>
        <w:t>المراجع والدوريات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7. References and Periodicals </w:t>
      </w:r>
      <w:r>
        <w:rPr>
          <w:rStyle w:val="Strong"/>
          <w:rFonts w:eastAsia="Segoe UI" w:hint="cs"/>
          <w:color w:val="0F1115"/>
          <w:shd w:val="clear" w:color="auto" w:fill="FFFFFF"/>
          <w:rtl/>
          <w:lang w:bidi="ar-LY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879"/>
        <w:gridCol w:w="2590"/>
        <w:gridCol w:w="1631"/>
        <w:gridCol w:w="1128"/>
      </w:tblGrid>
      <w:tr w:rsidR="00AC29BD" w14:paraId="38DE347C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0B8E82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66FD5A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121D4A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Author(s)/Organization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FA978B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948C7C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AC29BD" w14:paraId="61135A3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903ECE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Manual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C642CC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Clinical Laboratory Standards Institute (CLSI) Guidelines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FD5D69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CLSI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F53BB1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CLSI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FFD822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3th</w:t>
            </w:r>
          </w:p>
        </w:tc>
      </w:tr>
      <w:tr w:rsidR="00AC29BD" w14:paraId="3C3715E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796705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71FFA2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Henry's Clinical Diagnosis and Management by Laboratory Methods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68DB5D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McPherson, R.A. &amp; Pincus, M.R.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4861C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899572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2th</w:t>
            </w:r>
          </w:p>
        </w:tc>
      </w:tr>
      <w:tr w:rsidR="00AC29BD" w14:paraId="058B03F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4EF596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Procedural Guide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3052B5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Laboratory Manual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E1D413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Hospital/Clinical Site Specific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91D384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6C371C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AC29BD" w14:paraId="6C9EAAF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22F510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204FB6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American Journal of Clinical Pathology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9EDE58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C4BF18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Society for Clinical Pathology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E3CF91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AC29BD" w14:paraId="79C2A0A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11B5E7" w14:textId="77777777" w:rsidR="00AC29BD" w:rsidRDefault="00784A88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7C0F40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Clinical Laboratory Science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61C3CC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A12FC4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Society for Clinical Laboratory Science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B2570E" w14:textId="77777777" w:rsidR="00AC29BD" w:rsidRDefault="00784A88" w:rsidP="00937914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3A9A2E70" w14:textId="77777777" w:rsidR="00AC29BD" w:rsidRDefault="00AC29BD">
      <w:pPr>
        <w:jc w:val="right"/>
        <w:rPr>
          <w:rFonts w:ascii="Arial" w:hAnsi="Arial" w:cs="AL-Mateen"/>
          <w:sz w:val="28"/>
          <w:szCs w:val="28"/>
          <w:rtl/>
        </w:rPr>
      </w:pPr>
    </w:p>
    <w:p w14:paraId="47F45D9F" w14:textId="77777777" w:rsidR="00AC29BD" w:rsidRDefault="00784A88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8. Facilities and Resources Required</w:t>
      </w:r>
    </w:p>
    <w:p w14:paraId="04B87BED" w14:textId="77777777" w:rsidR="00AC29BD" w:rsidRDefault="00784A88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Affiliated Clinical Laboratories: Hospital or diagnostic laboratories with all major sections (Chemistry, Hematology, Microbiology, Blood Bank, Histopathology, etc.).</w:t>
      </w:r>
    </w:p>
    <w:p w14:paraId="3476DA70" w14:textId="77777777" w:rsidR="00AC29BD" w:rsidRDefault="00784A88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Trained Clinical Instructors/Supervisors: Certified laboratory professionals to guide and assess students.</w:t>
      </w:r>
    </w:p>
    <w:p w14:paraId="4EA6BC06" w14:textId="77777777" w:rsidR="00AC29BD" w:rsidRDefault="00784A88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Personal Protective Equipment (PPE): Lab coats, gloves, eye protection provided for each student.</w:t>
      </w:r>
    </w:p>
    <w:p w14:paraId="6D881B00" w14:textId="77777777" w:rsidR="00AC29BD" w:rsidRDefault="00784A88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Training Materials: Access to SOPs, instrument manuals, and reference texts within the laboratory.</w:t>
      </w:r>
    </w:p>
    <w:p w14:paraId="1980D3A0" w14:textId="77777777" w:rsidR="00AC29BD" w:rsidRDefault="00784A88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Assessment Tools: Competency checklists, evaluation forms, and logbook templates.</w:t>
      </w:r>
    </w:p>
    <w:p w14:paraId="7E436814" w14:textId="77777777" w:rsidR="00AC29BD" w:rsidRDefault="00784A88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Library Access: To medical and laboratory science databases for research and case preparation.</w:t>
      </w:r>
    </w:p>
    <w:p w14:paraId="7AFCC7FD" w14:textId="77777777" w:rsidR="00AC29BD" w:rsidRDefault="00AC29BD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  <w:rtl/>
        </w:rPr>
      </w:pPr>
    </w:p>
    <w:p w14:paraId="4E913782" w14:textId="77777777" w:rsidR="00AC29BD" w:rsidRDefault="00784A8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340B6725" w14:textId="77777777" w:rsidR="00AC29BD" w:rsidRDefault="00AC29BD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3480C604" w14:textId="77777777" w:rsidR="00AC29BD" w:rsidRDefault="00784A88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4B395D8C" w14:textId="77777777" w:rsidR="00AC29BD" w:rsidRDefault="00784A8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2C69262" w14:textId="77777777" w:rsidR="00AC29BD" w:rsidRDefault="00AC29BD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46EAA13A" w14:textId="77777777" w:rsidR="00AC29BD" w:rsidRDefault="00AC29BD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2381001" w14:textId="77777777" w:rsidR="00AC29BD" w:rsidRDefault="00784A88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2BCAB95A" w14:textId="77777777" w:rsidR="00AC29BD" w:rsidRDefault="00AC29BD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B357402" w14:textId="77777777" w:rsidR="00AC29BD" w:rsidRDefault="00AC29BD">
      <w:pPr>
        <w:jc w:val="center"/>
        <w:rPr>
          <w:rFonts w:ascii="Arial" w:hAnsi="Arial" w:cs="AL-Mateen"/>
          <w:sz w:val="28"/>
          <w:szCs w:val="28"/>
          <w:rtl/>
        </w:rPr>
        <w:sectPr w:rsidR="00AC29BD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6CB0410C" w14:textId="72747505" w:rsidR="00AC29BD" w:rsidRPr="00937914" w:rsidRDefault="00784A88" w:rsidP="00937914">
      <w:pPr>
        <w:jc w:val="center"/>
        <w:rPr>
          <w:sz w:val="28"/>
          <w:szCs w:val="28"/>
          <w:rtl/>
          <w:lang w:bidi="ar-LY"/>
        </w:rPr>
      </w:pPr>
      <w:r w:rsidRPr="00937914">
        <w:rPr>
          <w:b/>
          <w:bCs/>
          <w:sz w:val="28"/>
          <w:szCs w:val="28"/>
          <w:rtl/>
        </w:rPr>
        <w:lastRenderedPageBreak/>
        <w:t>مصفوفة المقرر الدراسي</w:t>
      </w:r>
      <w:r w:rsidRPr="00937914">
        <w:rPr>
          <w:b/>
          <w:bCs/>
          <w:sz w:val="28"/>
          <w:szCs w:val="28"/>
          <w:rtl/>
          <w:lang w:bidi="ar-LY"/>
        </w:rPr>
        <w:t>:</w:t>
      </w:r>
      <w:r w:rsidRPr="00937914">
        <w:rPr>
          <w:sz w:val="28"/>
          <w:szCs w:val="28"/>
          <w:rtl/>
          <w:lang w:bidi="ar-LY"/>
        </w:rPr>
        <w:t xml:space="preserve"> التدريب الميداني</w:t>
      </w:r>
      <w:r w:rsidRPr="00937914">
        <w:rPr>
          <w:sz w:val="28"/>
          <w:szCs w:val="28"/>
          <w:rtl/>
        </w:rPr>
        <w:t xml:space="preserve"> </w:t>
      </w:r>
      <w:r w:rsidRPr="00937914">
        <w:rPr>
          <w:sz w:val="28"/>
          <w:szCs w:val="28"/>
          <w:lang w:bidi="ar-LY"/>
        </w:rPr>
        <w:t>Practical Training</w:t>
      </w:r>
      <w:r w:rsidR="00937914" w:rsidRPr="00937914">
        <w:rPr>
          <w:sz w:val="28"/>
          <w:szCs w:val="28"/>
          <w:lang w:bidi="ar-LY"/>
        </w:rPr>
        <w:t xml:space="preserve"> (MLT 247) </w:t>
      </w:r>
    </w:p>
    <w:p w14:paraId="40BC5EC6" w14:textId="77777777" w:rsidR="00AC29BD" w:rsidRDefault="00AC29BD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AC29BD" w14:paraId="0B729855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158C9DAF" w14:textId="77777777" w:rsidR="00AC29BD" w:rsidRDefault="00784A8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E8A0E8D" w14:textId="6B015200" w:rsidR="00AC29BD" w:rsidRDefault="004023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784A88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15D181B" w14:textId="77777777" w:rsidR="00AC29BD" w:rsidRDefault="00784A8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AC29BD" w14:paraId="7698027D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64AA429" w14:textId="77777777" w:rsidR="00AC29BD" w:rsidRDefault="00AC29B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88883F9" w14:textId="77777777" w:rsidR="00AC29BD" w:rsidRDefault="00AC29B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83BC172" w14:textId="3F108244" w:rsidR="00AC29BD" w:rsidRPr="0040230A" w:rsidRDefault="0040230A" w:rsidP="0040230A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784A88" w:rsidRPr="0040230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7791205" w14:textId="06EC5D6C" w:rsidR="00AC29BD" w:rsidRPr="0040230A" w:rsidRDefault="0040230A" w:rsidP="0040230A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 )</w:t>
            </w:r>
            <w:r w:rsidR="00784A88" w:rsidRPr="0040230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AB54153" w14:textId="11E8F15C" w:rsidR="00AC29BD" w:rsidRDefault="00784A8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40230A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)  المهارات العامة </w:t>
            </w:r>
          </w:p>
        </w:tc>
      </w:tr>
      <w:tr w:rsidR="0040230A" w14:paraId="4D8386CA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0A4607C" w14:textId="77777777" w:rsidR="0040230A" w:rsidRDefault="0040230A" w:rsidP="004023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D163E40" w14:textId="206A042C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595F08D9" w14:textId="061179E6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2DE34061" w14:textId="6EEA0A31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2299106" w14:textId="4C120532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FAD471C" w14:textId="39D93737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058DABEF" w14:textId="6649E9BE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2709A121" w14:textId="564C69B8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7773665" w14:textId="7D923F06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736E9E80" w14:textId="10DEE390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5C37E39" w14:textId="35392EA5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7CE35EF" w14:textId="5C2E29F8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CF7FAF2" w14:textId="74FD62BC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063100D" w14:textId="1D4E0C41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36B7931" w14:textId="5CA7D6F3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D154F06" w14:textId="1E7AEE95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5859BEE" w14:textId="6DF6FFE6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61BBD1F3" w14:textId="7646B89F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7D7244F8" w14:textId="48CA6558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3CCDB4D" w14:textId="3FCA84DD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505E088" w14:textId="61134FED" w:rsidR="0040230A" w:rsidRDefault="0040230A" w:rsidP="004023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AC29BD" w14:paraId="15D220B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9D6D4DD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1B1083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93F47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A16BA65" w14:textId="77777777" w:rsidR="00AC29BD" w:rsidRDefault="00AC29B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4F998E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66A773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D6CF290" w14:textId="77777777" w:rsidR="00AC29BD" w:rsidRDefault="00AC29B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57A2803D" w14:textId="77777777" w:rsidR="00AC29BD" w:rsidRDefault="00AC29B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01E7CC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CA699B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E64DCA0" w14:textId="77777777" w:rsidR="00AC29BD" w:rsidRDefault="00AC29B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E70AE6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3E096A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A00D66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D2DA3F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AF88C0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C1FE890" w14:textId="77777777" w:rsidR="00AC29BD" w:rsidRDefault="00784A88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F29D33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29915A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5E0DA1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E1AD108" w14:textId="77777777" w:rsidR="00AC29BD" w:rsidRDefault="00AC29B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C29BD" w14:paraId="284A42F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93DA2E3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9E9DD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1AA7A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59ED4B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9532D8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7072F2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9A79B3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DFB715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237EBF4" w14:textId="77777777" w:rsidR="00AC29BD" w:rsidRDefault="00784A88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36639ED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6D1AEF2" w14:textId="77777777" w:rsidR="00AC29BD" w:rsidRDefault="00AC29B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53148A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EBD77E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5AE949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587485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1EFD3A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8978C88" w14:textId="77777777" w:rsidR="00AC29BD" w:rsidRDefault="00784A88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38F6EF3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444A29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81F6EB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8E79BA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212FB08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3F7982E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95FB2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CFA90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99375E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91F50D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16E641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301869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C9615D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4D0CD0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956129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613A8F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B4690A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D275C7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A12EAF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2CCE63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9A98A3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827B0C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5B58B7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0B572B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BFF69D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08C4B4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70611CD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D947341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31650C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0A25C17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57B4CD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63FD2C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986D2F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4576AE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8ACE35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B9ADFD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F8932E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D71FFE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973787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DE2545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ECB3E6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6263F0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44DA7B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227269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2FF466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63D441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76B3D8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823CC4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18A6CFF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89BEB13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0960DB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47983EA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36A96AF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1C79195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6CCECEE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54E3CCF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423A9B7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5D6ACA2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64D9C3D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13AACC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303257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7ABFF6A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167458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1E24D0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1B2570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1C215B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3DC8DE3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5E017C7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7A1163B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82BF01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6885A9E1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2850B40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50D6BE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7EF0FB4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DE4600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D45D8C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B99D5C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7AA454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A315BE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2A0CC2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7DC580A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CE4C01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EA9E1F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64D74C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485BFC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A1BD63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8F5E56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C6E901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4899820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441DA2E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FFE59E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BCB7CF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23AECE0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AD305A3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C8C237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67388F2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FD9851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6D4AC9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7EDC47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797F2F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B5185E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18A353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E28AAC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92CF47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ABD82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78FC58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199ADD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FAE531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DB57DB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6A53E8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C5BD75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A60335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79D6BB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D3920D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7CBC142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4219851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7DD056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1524760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32D0432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7AAC345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B61926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293B33B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5F3CD93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C64E61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05DD0B6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C0A531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32284C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5E4D987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1DE1D7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11C423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425A48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325B9B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19537AA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329611B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423295A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9A3673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127AD3B5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65F0911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6EBC1C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6D7662C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1B985C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54DF06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A0C291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F90F51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0717C48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5DC5AD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6194FEF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C05E09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8859D5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38F17A4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2EBE84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F39DAE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98EDEB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902679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6C4E1C7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BA816F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4A85F20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FA39AE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1943A8D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D189249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2B0B19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4F99DB1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C7747D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70BFA5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18ECEE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EA3D60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E566BD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472D6E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4ABAC5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900789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21E84E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7DE7D1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D71EB5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65F535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20CCA2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FB4380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FD7043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6C8B1D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C5BE12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BDA1AD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1E4BD9C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3B1A6BC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156579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486ACE7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47E7A5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327A19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26FC73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753B931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98736C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34CF3D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5A32610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9C0598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33754A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CB8596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7497A4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8E433A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59D98C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9FAFCB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CBD939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FD471B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41B02C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B462D7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0F13EF9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EF223A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700F0F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1A295B7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FA7E53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27112CC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8F0625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8F910A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6008BD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E029C2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452CD86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4770AF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5ED536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CA5081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234D96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08576A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B26830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F7E1FA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7492123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2D227D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3503F9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8A4A32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6732367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ADBB805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A2F5FD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767BEA7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0ADF5FC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66B23B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74556E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A23C3B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9174D1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DF56BD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B379E1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FB93AD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0140E0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C6AB89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537A25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25AB8C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D6F320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DDE6BC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8D90D6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9E4021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B31AFE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C3638E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6D079E9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C6105D9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129FE4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430D606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33760F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2E901FC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A20D25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83134E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2C78D0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C7B5E0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43D3FE4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6CDBBC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DAAD6E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E02580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AF883D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AE609C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612B05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6042CF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793E938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0AF06B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5A1CF2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B9422C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402FFA2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85CB0D8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6F9372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51C556C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1A9E6C4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4AABC54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ABC934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F6A099D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51FFC68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5C709BB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671361F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DA17B4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702F7A8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77E3CFF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9ADC15E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19E02B90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7F3E2E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2542BC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2220612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F3C431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55E6204B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871C8C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AC29BD" w14:paraId="72873D4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B9C297F" w14:textId="77777777" w:rsidR="00AC29BD" w:rsidRDefault="00784A8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0F0AEA1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2C68008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2CE8EAB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7E80A81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8BD280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BB5501C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75CF2B8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27C57625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5D52216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2D8AD49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D7C91D3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6EF3305A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292F1B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5A4EFD0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34DB45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70C19F6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264CE097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6E50BBD2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2A42659F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04141D4" w14:textId="77777777" w:rsidR="00AC29BD" w:rsidRDefault="00784A88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</w:tbl>
    <w:p w14:paraId="37D216D2" w14:textId="19AA2568" w:rsidR="00AC29BD" w:rsidRPr="00937914" w:rsidRDefault="00784A88" w:rsidP="00937914">
      <w:pPr>
        <w:jc w:val="right"/>
        <w:rPr>
          <w:sz w:val="21"/>
          <w:szCs w:val="21"/>
          <w:rtl/>
          <w:lang w:bidi="ar-LY"/>
        </w:rPr>
      </w:pPr>
      <w:r>
        <w:rPr>
          <w:sz w:val="21"/>
          <w:szCs w:val="21"/>
          <w:rtl/>
          <w:lang w:bidi="ar-LY"/>
        </w:rPr>
        <w:t>Matrix Note: This course is a comprehensive clinical practicum where all Intended Learning Outcomes (ILOs) are continuously addressed and assessed throughout the entire</w:t>
      </w:r>
      <w:r>
        <w:rPr>
          <w:sz w:val="21"/>
          <w:szCs w:val="21"/>
          <w:lang w:bidi="ar-LY"/>
        </w:rPr>
        <w:t xml:space="preserve"> 16 week </w:t>
      </w:r>
      <w:r>
        <w:rPr>
          <w:sz w:val="21"/>
          <w:szCs w:val="21"/>
          <w:rtl/>
          <w:lang w:bidi="ar-LY"/>
        </w:rPr>
        <w:t xml:space="preserve">training period </w:t>
      </w:r>
    </w:p>
    <w:sectPr w:rsidR="00AC29BD" w:rsidRPr="00937914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D1F2" w14:textId="77777777" w:rsidR="00E46CF4" w:rsidRDefault="00E46CF4">
      <w:r>
        <w:separator/>
      </w:r>
    </w:p>
  </w:endnote>
  <w:endnote w:type="continuationSeparator" w:id="0">
    <w:p w14:paraId="2D264621" w14:textId="77777777" w:rsidR="00E46CF4" w:rsidRDefault="00E4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4999" w14:textId="77777777" w:rsidR="00AC29BD" w:rsidRDefault="00784A88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93287" wp14:editId="374430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94338" w14:textId="77777777" w:rsidR="00AC29BD" w:rsidRDefault="00784A8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932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094338" w14:textId="77777777" w:rsidR="00AC29BD" w:rsidRDefault="00784A8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0565" w14:textId="77777777" w:rsidR="00E46CF4" w:rsidRDefault="00E46CF4">
      <w:r>
        <w:separator/>
      </w:r>
    </w:p>
  </w:footnote>
  <w:footnote w:type="continuationSeparator" w:id="0">
    <w:p w14:paraId="7A6EF49C" w14:textId="77777777" w:rsidR="00E46CF4" w:rsidRDefault="00E4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0230A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84A8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37914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C29BD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46CF4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5B3719"/>
    <w:rsid w:val="09B40BC7"/>
    <w:rsid w:val="09DB06DC"/>
    <w:rsid w:val="0AAF3DD7"/>
    <w:rsid w:val="0CA83D7C"/>
    <w:rsid w:val="10E92EDB"/>
    <w:rsid w:val="1275759B"/>
    <w:rsid w:val="16A0533A"/>
    <w:rsid w:val="19110AF8"/>
    <w:rsid w:val="1C283D05"/>
    <w:rsid w:val="1E160BDE"/>
    <w:rsid w:val="21114C41"/>
    <w:rsid w:val="270640E7"/>
    <w:rsid w:val="27A0634D"/>
    <w:rsid w:val="2E97707E"/>
    <w:rsid w:val="2ED05C0A"/>
    <w:rsid w:val="36B13932"/>
    <w:rsid w:val="38C8427A"/>
    <w:rsid w:val="39655763"/>
    <w:rsid w:val="3CA0098B"/>
    <w:rsid w:val="40615734"/>
    <w:rsid w:val="453032B3"/>
    <w:rsid w:val="49112214"/>
    <w:rsid w:val="49924372"/>
    <w:rsid w:val="4DC1550A"/>
    <w:rsid w:val="53BA2BA2"/>
    <w:rsid w:val="560F65B6"/>
    <w:rsid w:val="595B6629"/>
    <w:rsid w:val="5CF87A77"/>
    <w:rsid w:val="5F4C33F1"/>
    <w:rsid w:val="64F174B7"/>
    <w:rsid w:val="6E1B29B3"/>
    <w:rsid w:val="6E8D78B3"/>
    <w:rsid w:val="7492069A"/>
    <w:rsid w:val="76B84F1A"/>
    <w:rsid w:val="7EFF774B"/>
    <w:rsid w:val="7FD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5079C7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